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C2" w:rsidRDefault="006D76C2"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1C586" wp14:editId="2EB36AEA">
                <wp:simplePos x="0" y="0"/>
                <wp:positionH relativeFrom="column">
                  <wp:posOffset>1110615</wp:posOffset>
                </wp:positionH>
                <wp:positionV relativeFrom="paragraph">
                  <wp:posOffset>175895</wp:posOffset>
                </wp:positionV>
                <wp:extent cx="4829175" cy="4191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6C2" w:rsidRPr="006D76C2" w:rsidRDefault="006D76C2" w:rsidP="006D76C2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D76C2"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Responsabilidad Social Empresarial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1C586" id="Rectángulo 2" o:spid="_x0000_s1026" style="position:absolute;margin-left:87.45pt;margin-top:13.85pt;width:380.25pt;height: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" fillcolor="#9cc2e5 [1940]" strokecolor="#1f4d78 [1604]" strokeweight="1pt">
                <v:textbox>
                  <w:txbxContent>
                    <w:p w:rsidR="006D76C2" w:rsidRPr="006D76C2" w:rsidRDefault="006D76C2" w:rsidP="006D76C2">
                      <w:pPr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6D76C2"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  <w:t xml:space="preserve">Responsabilidad Social Empresarial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BO"/>
        </w:rPr>
        <w:drawing>
          <wp:anchor distT="0" distB="0" distL="114300" distR="114300" simplePos="0" relativeHeight="251659264" behindDoc="0" locked="0" layoutInCell="1" allowOverlap="1" wp14:anchorId="7C4E80CD" wp14:editId="6AB039DF">
            <wp:simplePos x="0" y="0"/>
            <wp:positionH relativeFrom="column">
              <wp:posOffset>-270510</wp:posOffset>
            </wp:positionH>
            <wp:positionV relativeFrom="paragraph">
              <wp:posOffset>-262255</wp:posOffset>
            </wp:positionV>
            <wp:extent cx="1266825" cy="11811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6C2" w:rsidRDefault="006D76C2"/>
    <w:p w:rsidR="006D76C2" w:rsidRDefault="006D76C2"/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76C2" w:rsidTr="000A1868">
        <w:tc>
          <w:tcPr>
            <w:tcW w:w="4414" w:type="dxa"/>
            <w:shd w:val="clear" w:color="auto" w:fill="BDD6EE" w:themeFill="accent1" w:themeFillTint="66"/>
          </w:tcPr>
          <w:p w:rsidR="006D76C2" w:rsidRPr="000A1868" w:rsidRDefault="000A1868" w:rsidP="000A18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2FB">
              <w:rPr>
                <w:rFonts w:ascii="Arial" w:hAnsi="Arial" w:cs="Arial"/>
                <w:b/>
              </w:rPr>
              <w:t>EMPRESA</w:t>
            </w:r>
          </w:p>
        </w:tc>
        <w:tc>
          <w:tcPr>
            <w:tcW w:w="4414" w:type="dxa"/>
          </w:tcPr>
          <w:p w:rsidR="006D76C2" w:rsidRDefault="00BF5C1F" w:rsidP="00090118">
            <w:r>
              <w:t xml:space="preserve">Sociedad Minera </w:t>
            </w:r>
            <w:proofErr w:type="spellStart"/>
            <w:r>
              <w:t>Illapa</w:t>
            </w:r>
            <w:proofErr w:type="spellEnd"/>
            <w:r>
              <w:t xml:space="preserve"> S.A.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A1868" w:rsidTr="000A1868">
        <w:tc>
          <w:tcPr>
            <w:tcW w:w="4414" w:type="dxa"/>
            <w:shd w:val="clear" w:color="auto" w:fill="BDD6EE" w:themeFill="accent1" w:themeFillTint="66"/>
          </w:tcPr>
          <w:p w:rsidR="000A1868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A1868" w:rsidRPr="00C361B0">
              <w:rPr>
                <w:rFonts w:ascii="Arial" w:hAnsi="Arial" w:cs="Arial"/>
                <w:b/>
              </w:rPr>
              <w:t>OBJETIVOS DEL PROGRAMA</w:t>
            </w:r>
            <w:r w:rsidR="00F10AA2">
              <w:rPr>
                <w:rFonts w:ascii="Arial" w:hAnsi="Arial" w:cs="Arial"/>
                <w:b/>
              </w:rPr>
              <w:t xml:space="preserve"> o ACTIVIDAD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:rsidR="000A1868" w:rsidRDefault="000A1868"/>
        </w:tc>
      </w:tr>
      <w:tr w:rsidR="000A1868" w:rsidTr="00364C3F">
        <w:tc>
          <w:tcPr>
            <w:tcW w:w="8828" w:type="dxa"/>
            <w:gridSpan w:val="2"/>
          </w:tcPr>
          <w:p w:rsidR="00497989" w:rsidRDefault="009D2096" w:rsidP="00BC6EE0">
            <w:pPr>
              <w:jc w:val="both"/>
            </w:pPr>
            <w:r>
              <w:t xml:space="preserve">El programa de Responsabilidad Social Empresarial de Sociedad Minera </w:t>
            </w:r>
            <w:proofErr w:type="spellStart"/>
            <w:r>
              <w:t>Illapa</w:t>
            </w:r>
            <w:proofErr w:type="spellEnd"/>
            <w:r>
              <w:t xml:space="preserve"> S.A. </w:t>
            </w:r>
            <w:r w:rsidR="00D64C2F">
              <w:t>t</w:t>
            </w:r>
            <w:r>
              <w:t>iene el objetivo de maximizar el valor agregado de las regiones donde opera, brindando fuentes laborales y calidad de vida, en medida de las posibilidades, manteniendo una relación de apoyo a las comunidades aledañas.</w:t>
            </w:r>
          </w:p>
          <w:p w:rsidR="001C1008" w:rsidRDefault="009D2096" w:rsidP="00D64C2F">
            <w:pPr>
              <w:jc w:val="both"/>
            </w:pPr>
            <w:r>
              <w:t xml:space="preserve">Sociedad Minera </w:t>
            </w:r>
            <w:proofErr w:type="spellStart"/>
            <w:r w:rsidR="00D64C2F">
              <w:t>I</w:t>
            </w:r>
            <w:r>
              <w:t>llapa</w:t>
            </w:r>
            <w:proofErr w:type="spellEnd"/>
            <w:r>
              <w:t xml:space="preserve"> S.A. orienta sus esfuerzos en una relación duradera y de comunicación constante con las comunidades en sus áreas de influencia, dentro de las cuales coadyuva al desarrollo de estas y </w:t>
            </w:r>
            <w:r w:rsidR="00D64C2F">
              <w:t>en</w:t>
            </w:r>
            <w:r>
              <w:t xml:space="preserve"> general, a mejorar las condiciones de vida.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2AA6" w:rsidTr="00CD2AA6">
        <w:tc>
          <w:tcPr>
            <w:tcW w:w="4414" w:type="dxa"/>
            <w:shd w:val="clear" w:color="auto" w:fill="BDD6EE" w:themeFill="accent1" w:themeFillTint="66"/>
          </w:tcPr>
          <w:p w:rsidR="00A80AC8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D2AA6" w:rsidRPr="00C361B0">
              <w:rPr>
                <w:rFonts w:ascii="Arial" w:hAnsi="Arial" w:cs="Arial"/>
                <w:b/>
              </w:rPr>
              <w:t>ACTIVIDADES</w:t>
            </w:r>
            <w:r w:rsidR="00DD5F23">
              <w:rPr>
                <w:rFonts w:ascii="Arial" w:hAnsi="Arial" w:cs="Arial"/>
                <w:b/>
              </w:rPr>
              <w:t xml:space="preserve"> </w:t>
            </w:r>
            <w:r w:rsidR="00A80AC8">
              <w:rPr>
                <w:rFonts w:ascii="Arial" w:hAnsi="Arial" w:cs="Arial"/>
                <w:b/>
              </w:rPr>
              <w:t xml:space="preserve">O PROGRAMAS </w:t>
            </w:r>
          </w:p>
          <w:p w:rsidR="00CD2AA6" w:rsidRPr="00C361B0" w:rsidRDefault="00A80AC8" w:rsidP="00A80A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DD5F23">
              <w:rPr>
                <w:rFonts w:ascii="Arial" w:hAnsi="Arial" w:cs="Arial"/>
                <w:b/>
              </w:rPr>
              <w:t>EJECUTAD</w:t>
            </w:r>
            <w:r>
              <w:rPr>
                <w:rFonts w:ascii="Arial" w:hAnsi="Arial" w:cs="Arial"/>
                <w:b/>
              </w:rPr>
              <w:t>O</w:t>
            </w:r>
            <w:r w:rsidR="00DD5F2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:rsidR="00CD2AA6" w:rsidRDefault="00CD2AA6"/>
        </w:tc>
      </w:tr>
      <w:tr w:rsidR="00CD2AA6" w:rsidTr="00DF6D65">
        <w:tc>
          <w:tcPr>
            <w:tcW w:w="8828" w:type="dxa"/>
            <w:gridSpan w:val="2"/>
          </w:tcPr>
          <w:p w:rsidR="00CD2AA6" w:rsidRDefault="00B47C03" w:rsidP="00EC7821">
            <w:pPr>
              <w:pStyle w:val="Prrafodelista"/>
              <w:numPr>
                <w:ilvl w:val="0"/>
                <w:numId w:val="12"/>
              </w:numPr>
              <w:ind w:left="309" w:hanging="309"/>
              <w:jc w:val="both"/>
            </w:pPr>
            <w:r w:rsidRPr="00EC7821">
              <w:rPr>
                <w:b/>
              </w:rPr>
              <w:t>Programas y Proyectos en Educación</w:t>
            </w:r>
            <w:r w:rsidR="00EC7821" w:rsidRPr="00EC7821">
              <w:rPr>
                <w:b/>
              </w:rPr>
              <w:t>.</w:t>
            </w:r>
            <w:r w:rsidR="00EC7821">
              <w:t xml:space="preserve"> El objetivo de los proyectos y programas en educación es, crear mejores condiciones para que los niños y jóvenes puedan estudiar hasta lograr un nivel de bachillerato.   </w:t>
            </w:r>
          </w:p>
          <w:p w:rsidR="00EC7821" w:rsidRPr="00EC7821" w:rsidRDefault="00EC7821" w:rsidP="00EC7821">
            <w:pPr>
              <w:pStyle w:val="Prrafodelista"/>
              <w:ind w:left="309"/>
              <w:jc w:val="both"/>
            </w:pPr>
            <w:r w:rsidRPr="00EC7821">
              <w:t xml:space="preserve">Los proyectos referidos a educación abarcan gastos en mejora de infraestructura y mobiliario de las escuelas de Antequera, </w:t>
            </w:r>
            <w:proofErr w:type="spellStart"/>
            <w:r w:rsidRPr="00EC7821">
              <w:t>Porco</w:t>
            </w:r>
            <w:proofErr w:type="spellEnd"/>
            <w:r w:rsidRPr="00EC7821">
              <w:t xml:space="preserve"> y Agua de Castilla.</w:t>
            </w:r>
          </w:p>
          <w:p w:rsidR="00EC7821" w:rsidRDefault="00EC7821" w:rsidP="00463CF6">
            <w:pPr>
              <w:pStyle w:val="Prrafodelista"/>
              <w:ind w:left="309"/>
              <w:jc w:val="both"/>
            </w:pPr>
            <w:r w:rsidRPr="00EC7821">
              <w:t>Los programas de educación brindan el aporte de pago de servicios de ed</w:t>
            </w:r>
            <w:r>
              <w:t>uc</w:t>
            </w:r>
            <w:r w:rsidRPr="00EC7821">
              <w:t>a</w:t>
            </w:r>
            <w:r>
              <w:t>c</w:t>
            </w:r>
            <w:r w:rsidRPr="00EC7821">
              <w:t>ión a docentes y trabajadores de</w:t>
            </w:r>
            <w:r>
              <w:t xml:space="preserve"> </w:t>
            </w:r>
            <w:r w:rsidRPr="00EC7821">
              <w:t>estas escuelas</w:t>
            </w:r>
            <w:r>
              <w:t>.</w:t>
            </w:r>
          </w:p>
          <w:p w:rsidR="00B47C03" w:rsidRDefault="00B47C03" w:rsidP="00463CF6">
            <w:pPr>
              <w:pStyle w:val="Prrafodelista"/>
              <w:numPr>
                <w:ilvl w:val="0"/>
                <w:numId w:val="12"/>
              </w:numPr>
              <w:ind w:left="309" w:hanging="309"/>
              <w:jc w:val="both"/>
            </w:pPr>
            <w:r w:rsidRPr="000C5A07">
              <w:rPr>
                <w:b/>
              </w:rPr>
              <w:t>Programas de Desarrollo Comun</w:t>
            </w:r>
            <w:r w:rsidR="00463CF6" w:rsidRPr="000C5A07">
              <w:rPr>
                <w:b/>
              </w:rPr>
              <w:t>itario.</w:t>
            </w:r>
            <w:r w:rsidR="00463CF6">
              <w:t xml:space="preserve"> El objetivo de los programas de desarrollo comunitario es, dar el soporte para impulsar a las comunidades a crear nuevas oportunidades de negocios y diversidad económica distinta a la minería.</w:t>
            </w:r>
          </w:p>
          <w:p w:rsidR="00463CF6" w:rsidRDefault="00463CF6" w:rsidP="000C5A07">
            <w:pPr>
              <w:pStyle w:val="Prrafodelista"/>
              <w:ind w:left="309"/>
              <w:jc w:val="both"/>
            </w:pPr>
            <w:r>
              <w:t xml:space="preserve">Los </w:t>
            </w:r>
            <w:r w:rsidR="00E12B1F">
              <w:t>programas</w:t>
            </w:r>
            <w:r>
              <w:t xml:space="preserve"> de desarrollo comunitario 2018 </w:t>
            </w:r>
            <w:r w:rsidR="00E12B1F">
              <w:t>continuaron</w:t>
            </w:r>
            <w:r>
              <w:t xml:space="preserve"> con el enfoque de empoderamiento </w:t>
            </w:r>
            <w:r w:rsidR="00E12B1F">
              <w:t>femenino</w:t>
            </w:r>
            <w:r>
              <w:t xml:space="preserve"> a </w:t>
            </w:r>
            <w:r w:rsidR="00E12B1F">
              <w:t>través</w:t>
            </w:r>
            <w:r>
              <w:t xml:space="preserve"> del soporte </w:t>
            </w:r>
            <w:r w:rsidR="000C5A07">
              <w:t>y capacitación de talleres en pintura en tela, bordado y confección de prendas de vestir, para madres de familia y amas de casa.</w:t>
            </w:r>
          </w:p>
          <w:p w:rsidR="00B47C03" w:rsidRDefault="00B47C03" w:rsidP="00D228B8">
            <w:pPr>
              <w:pStyle w:val="Prrafodelista"/>
              <w:numPr>
                <w:ilvl w:val="0"/>
                <w:numId w:val="12"/>
              </w:numPr>
              <w:ind w:left="309" w:hanging="309"/>
              <w:jc w:val="both"/>
            </w:pPr>
            <w:r w:rsidRPr="00227456">
              <w:rPr>
                <w:b/>
              </w:rPr>
              <w:t>Programas y Proyectos en Medio Ambiente</w:t>
            </w:r>
            <w:r w:rsidR="000C5A07">
              <w:t>. El objetivo de los programas y proyectos de medio ambiente es ayudar a las comunidades a crear conciencia sobre el cuidado ambiental y condiciones para el desarrollo sostenible de las áreas involucradas.</w:t>
            </w:r>
          </w:p>
          <w:p w:rsidR="000C5A07" w:rsidRDefault="000C5A07" w:rsidP="00D228B8">
            <w:pPr>
              <w:pStyle w:val="Prrafodelista"/>
              <w:ind w:left="309"/>
              <w:jc w:val="both"/>
            </w:pPr>
            <w:r>
              <w:t xml:space="preserve">Los proyectos referidos a medio ambiente corresponden a infraestructuras construidas para el encausamiento y embovedado de ríos, defensivos de cultivos </w:t>
            </w:r>
            <w:r w:rsidR="00227456">
              <w:t>e instalaciones para distribución de agua potable, que brindan calidad de vida a las poblaciones que utilicen o tengan alguna especie de riesgo respecto al recurso hídrico.</w:t>
            </w:r>
            <w:r>
              <w:t xml:space="preserve">  </w:t>
            </w:r>
          </w:p>
          <w:p w:rsidR="00B47C03" w:rsidRDefault="00B47C03" w:rsidP="00227456">
            <w:pPr>
              <w:pStyle w:val="Prrafodelista"/>
              <w:numPr>
                <w:ilvl w:val="0"/>
                <w:numId w:val="12"/>
              </w:numPr>
              <w:ind w:left="309" w:hanging="309"/>
              <w:jc w:val="both"/>
            </w:pPr>
            <w:r w:rsidRPr="00227456">
              <w:rPr>
                <w:b/>
              </w:rPr>
              <w:t>Programas y Proyectos en Necesidades Locales</w:t>
            </w:r>
            <w:r w:rsidR="00227456">
              <w:t xml:space="preserve">. El objetivo de los programas y proyectos de necesidad local es, dar el soporte para que la comunidad pueda cubrir necesidades y acceder a mejorar la calidad de vida </w:t>
            </w:r>
          </w:p>
          <w:p w:rsidR="00227456" w:rsidRDefault="00227456" w:rsidP="00227456">
            <w:pPr>
              <w:pStyle w:val="Prrafodelista"/>
              <w:ind w:left="309"/>
              <w:jc w:val="both"/>
            </w:pPr>
            <w:r w:rsidRPr="00227456">
              <w:lastRenderedPageBreak/>
              <w:t>Los proyectos de necesidades locales están destinado a apoyar la construcción de infraestructuras necesarias para el desenvolvimiento comunitario como ser campos deportivos, coliseos, graderías, centros de recreación, casa</w:t>
            </w:r>
            <w:r>
              <w:t>s</w:t>
            </w:r>
            <w:r w:rsidRPr="00227456">
              <w:t xml:space="preserve"> comunales, caminos, etc.</w:t>
            </w:r>
          </w:p>
          <w:p w:rsidR="00C708DA" w:rsidRPr="00227456" w:rsidRDefault="00C708DA" w:rsidP="00227456">
            <w:pPr>
              <w:pStyle w:val="Prrafodelista"/>
              <w:ind w:left="309"/>
              <w:jc w:val="both"/>
            </w:pPr>
            <w:r>
              <w:t>Los</w:t>
            </w:r>
            <w:r w:rsidR="00E95DFD">
              <w:t xml:space="preserve"> </w:t>
            </w:r>
            <w:r>
              <w:t xml:space="preserve">programas de necesidades locales se </w:t>
            </w:r>
            <w:r w:rsidR="00124B74">
              <w:t>enfocan</w:t>
            </w:r>
            <w:r>
              <w:t xml:space="preserve"> en sustentar en actividades culturales, deportivas y sociales requeridas por la </w:t>
            </w:r>
            <w:r w:rsidR="0089087B">
              <w:t>comunidad,</w:t>
            </w:r>
            <w:r w:rsidR="00BA519B">
              <w:t xml:space="preserve"> en la </w:t>
            </w:r>
            <w:r w:rsidR="0089087B">
              <w:t>búsqueda</w:t>
            </w:r>
            <w:r w:rsidR="00790849">
              <w:t xml:space="preserve"> de mantener las costumbres del lugar y brindar espacios de convivencia agradable entre comunarios y sus familias.</w:t>
            </w:r>
          </w:p>
          <w:p w:rsidR="00B47C03" w:rsidRDefault="00B47C03" w:rsidP="00790849">
            <w:pPr>
              <w:pStyle w:val="Prrafodelista"/>
              <w:numPr>
                <w:ilvl w:val="0"/>
                <w:numId w:val="12"/>
              </w:numPr>
              <w:ind w:left="309" w:hanging="309"/>
              <w:jc w:val="both"/>
            </w:pPr>
            <w:r w:rsidRPr="00790849">
              <w:rPr>
                <w:b/>
              </w:rPr>
              <w:t>Programas y Proyectos de Salud</w:t>
            </w:r>
            <w:r w:rsidR="00790849" w:rsidRPr="00790849">
              <w:rPr>
                <w:b/>
              </w:rPr>
              <w:t>.</w:t>
            </w:r>
            <w:r w:rsidR="00790849">
              <w:t xml:space="preserve">  El objetivo de los programas de salud es, brindar a las comunidades condiciones preventivas de salud a través de capacitaciones, campañas y actividades deportivas.</w:t>
            </w:r>
          </w:p>
          <w:p w:rsidR="00790849" w:rsidRDefault="00790849" w:rsidP="00790849">
            <w:pPr>
              <w:pStyle w:val="Prrafodelista"/>
              <w:ind w:left="309"/>
              <w:jc w:val="both"/>
            </w:pPr>
            <w:r w:rsidRPr="00790849">
              <w:t xml:space="preserve">Si bien la empresa a través del seguro delegado de salud, </w:t>
            </w:r>
            <w:r>
              <w:t xml:space="preserve">brinda en sus hospitales de Bolívar, agua del Castilla y </w:t>
            </w:r>
            <w:proofErr w:type="spellStart"/>
            <w:r>
              <w:t>Porco</w:t>
            </w:r>
            <w:proofErr w:type="spellEnd"/>
            <w:r>
              <w:t xml:space="preserve"> atención a los empleados y sus familias, la empresa busca generar conciencia en toda la sociedad de estas comunidades complementado acciones de la salud pública.</w:t>
            </w:r>
          </w:p>
          <w:p w:rsidR="00790849" w:rsidRDefault="00D228B8" w:rsidP="00790849">
            <w:pPr>
              <w:pStyle w:val="Prrafodelista"/>
              <w:ind w:left="309"/>
              <w:jc w:val="both"/>
            </w:pPr>
            <w:r>
              <w:t xml:space="preserve">Entre </w:t>
            </w:r>
            <w:r w:rsidR="00790849">
              <w:t xml:space="preserve">los proyectos de Salud de 2018 se tuvo la conclusión de la construcción del Coliseo de </w:t>
            </w:r>
            <w:proofErr w:type="spellStart"/>
            <w:r w:rsidR="00790849">
              <w:t>Porco</w:t>
            </w:r>
            <w:proofErr w:type="spellEnd"/>
            <w:r w:rsidR="00790849">
              <w:t xml:space="preserve"> con capacidad para 1500 personas.</w:t>
            </w:r>
          </w:p>
          <w:p w:rsidR="00790849" w:rsidRDefault="00790849" w:rsidP="00790849">
            <w:pPr>
              <w:pStyle w:val="Prrafodelista"/>
              <w:ind w:left="309"/>
              <w:jc w:val="both"/>
            </w:pPr>
            <w:r>
              <w:t>Los programas de salud se enfocaron en:</w:t>
            </w:r>
          </w:p>
          <w:p w:rsidR="004B6633" w:rsidRDefault="004B6633" w:rsidP="004B6633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Realización de campañas de sanitización, vacunación y concientización e n distintas comunidades del área de influencia.</w:t>
            </w:r>
          </w:p>
          <w:p w:rsidR="00790849" w:rsidRDefault="004B6633" w:rsidP="004B6633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 xml:space="preserve">Organizar y patrocinar actividades deportivas , entre ellas se destaca el Club de Zumba en Bolívar y la escuela de futbol para niños y jóvenes de </w:t>
            </w:r>
            <w:proofErr w:type="spellStart"/>
            <w:r>
              <w:t>Porco</w:t>
            </w:r>
            <w:proofErr w:type="spellEnd"/>
            <w:r>
              <w:t>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76C2" w:rsidTr="00BC6EE0">
        <w:trPr>
          <w:trHeight w:val="394"/>
        </w:trPr>
        <w:tc>
          <w:tcPr>
            <w:tcW w:w="4414" w:type="dxa"/>
            <w:shd w:val="clear" w:color="auto" w:fill="BDD6EE" w:themeFill="accent1" w:themeFillTint="66"/>
          </w:tcPr>
          <w:p w:rsidR="006D76C2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632FB" w:rsidRPr="00C361B0">
              <w:rPr>
                <w:rFonts w:ascii="Arial" w:hAnsi="Arial" w:cs="Arial"/>
                <w:b/>
              </w:rPr>
              <w:t>RESULTADOS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:rsidR="006D76C2" w:rsidRDefault="006D76C2"/>
        </w:tc>
      </w:tr>
      <w:tr w:rsidR="00CD2AA6" w:rsidTr="00AA25F2">
        <w:tc>
          <w:tcPr>
            <w:tcW w:w="8828" w:type="dxa"/>
            <w:gridSpan w:val="2"/>
          </w:tcPr>
          <w:p w:rsidR="00CD2AA6" w:rsidRDefault="00C25411" w:rsidP="003446E6">
            <w:pPr>
              <w:jc w:val="both"/>
            </w:pPr>
            <w:r>
              <w:t xml:space="preserve">Los programas de Responsabilidad Social Empresarial fueron satisfactorios para las comunidades beneficiarias, mediante estos programas y proyectos se mejoraron las vidas de miles de personas con las cuales convive la Sociedad Minera </w:t>
            </w:r>
            <w:proofErr w:type="spellStart"/>
            <w:r>
              <w:t>Illapa</w:t>
            </w:r>
            <w:proofErr w:type="spellEnd"/>
            <w:r>
              <w:t xml:space="preserve"> S.A.</w:t>
            </w:r>
          </w:p>
          <w:p w:rsidR="00C25411" w:rsidRDefault="00C25411" w:rsidP="003446E6">
            <w:pPr>
              <w:jc w:val="both"/>
            </w:pPr>
            <w:r>
              <w:t>Dentro de las entregas de proyectos las autoridades regionales respectivas, han demostrado su apoyo a la empresa, y dentro de ello a trabajar conjuntamente en nuevos proyectos que los beneficie.</w:t>
            </w:r>
          </w:p>
          <w:p w:rsidR="00C25411" w:rsidRDefault="00C25411" w:rsidP="003446E6">
            <w:pPr>
              <w:jc w:val="both"/>
            </w:pPr>
            <w:r>
              <w:t>El número de beneficiarios identificados por nuestros proyectos y programas de responsabilidad social son:</w:t>
            </w:r>
          </w:p>
          <w:p w:rsidR="00C25411" w:rsidRDefault="00C25411" w:rsidP="003446E6">
            <w:pPr>
              <w:jc w:val="both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7"/>
              <w:gridCol w:w="1807"/>
              <w:gridCol w:w="1559"/>
            </w:tblGrid>
            <w:tr w:rsidR="00C25411" w:rsidTr="00C351B5">
              <w:trPr>
                <w:jc w:val="center"/>
              </w:trPr>
              <w:tc>
                <w:tcPr>
                  <w:tcW w:w="437" w:type="dxa"/>
                  <w:shd w:val="clear" w:color="auto" w:fill="D0CECE" w:themeFill="background2" w:themeFillShade="E6"/>
                </w:tcPr>
                <w:p w:rsidR="00C25411" w:rsidRPr="00C351B5" w:rsidRDefault="00C25411" w:rsidP="00C2541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351B5">
                    <w:rPr>
                      <w:b/>
                      <w:sz w:val="16"/>
                      <w:szCs w:val="16"/>
                    </w:rPr>
                    <w:t>N°</w:t>
                  </w:r>
                </w:p>
              </w:tc>
              <w:tc>
                <w:tcPr>
                  <w:tcW w:w="1807" w:type="dxa"/>
                  <w:shd w:val="clear" w:color="auto" w:fill="D0CECE" w:themeFill="background2" w:themeFillShade="E6"/>
                </w:tcPr>
                <w:p w:rsidR="00C25411" w:rsidRPr="00C351B5" w:rsidRDefault="00C25411" w:rsidP="00C2541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351B5">
                    <w:rPr>
                      <w:b/>
                      <w:sz w:val="16"/>
                      <w:szCs w:val="16"/>
                    </w:rPr>
                    <w:t>Área de Desarrollo</w:t>
                  </w:r>
                </w:p>
              </w:tc>
              <w:tc>
                <w:tcPr>
                  <w:tcW w:w="1559" w:type="dxa"/>
                  <w:shd w:val="clear" w:color="auto" w:fill="D0CECE" w:themeFill="background2" w:themeFillShade="E6"/>
                </w:tcPr>
                <w:p w:rsidR="00C25411" w:rsidRPr="00C351B5" w:rsidRDefault="00C25411" w:rsidP="00C2541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351B5">
                    <w:rPr>
                      <w:b/>
                      <w:sz w:val="16"/>
                      <w:szCs w:val="16"/>
                    </w:rPr>
                    <w:t>N° de Beneficiarios</w:t>
                  </w:r>
                </w:p>
              </w:tc>
            </w:tr>
            <w:tr w:rsidR="00C25411" w:rsidTr="00C351B5">
              <w:trPr>
                <w:jc w:val="center"/>
              </w:trPr>
              <w:tc>
                <w:tcPr>
                  <w:tcW w:w="437" w:type="dxa"/>
                </w:tcPr>
                <w:p w:rsidR="00C25411" w:rsidRPr="00C351B5" w:rsidRDefault="00C25411" w:rsidP="003446E6">
                  <w:pPr>
                    <w:jc w:val="both"/>
                    <w:rPr>
                      <w:sz w:val="16"/>
                      <w:szCs w:val="16"/>
                    </w:rPr>
                  </w:pPr>
                  <w:r w:rsidRPr="00C351B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7" w:type="dxa"/>
                </w:tcPr>
                <w:p w:rsidR="00C25411" w:rsidRPr="00C351B5" w:rsidRDefault="00C25411" w:rsidP="003446E6">
                  <w:pPr>
                    <w:jc w:val="both"/>
                    <w:rPr>
                      <w:sz w:val="16"/>
                      <w:szCs w:val="16"/>
                    </w:rPr>
                  </w:pPr>
                  <w:r w:rsidRPr="00C351B5">
                    <w:rPr>
                      <w:sz w:val="16"/>
                      <w:szCs w:val="16"/>
                    </w:rPr>
                    <w:t>Educación</w:t>
                  </w:r>
                </w:p>
              </w:tc>
              <w:tc>
                <w:tcPr>
                  <w:tcW w:w="1559" w:type="dxa"/>
                </w:tcPr>
                <w:p w:rsidR="00C25411" w:rsidRPr="00C351B5" w:rsidRDefault="00C25411" w:rsidP="00C25411">
                  <w:pPr>
                    <w:jc w:val="center"/>
                    <w:rPr>
                      <w:sz w:val="16"/>
                      <w:szCs w:val="16"/>
                    </w:rPr>
                  </w:pPr>
                  <w:r w:rsidRPr="00C351B5">
                    <w:rPr>
                      <w:sz w:val="16"/>
                      <w:szCs w:val="16"/>
                    </w:rPr>
                    <w:t>4.126</w:t>
                  </w:r>
                </w:p>
              </w:tc>
            </w:tr>
            <w:tr w:rsidR="00C25411" w:rsidTr="00C351B5">
              <w:trPr>
                <w:jc w:val="center"/>
              </w:trPr>
              <w:tc>
                <w:tcPr>
                  <w:tcW w:w="437" w:type="dxa"/>
                </w:tcPr>
                <w:p w:rsidR="00C25411" w:rsidRPr="00C351B5" w:rsidRDefault="00C25411" w:rsidP="003446E6">
                  <w:pPr>
                    <w:jc w:val="both"/>
                    <w:rPr>
                      <w:sz w:val="16"/>
                      <w:szCs w:val="16"/>
                    </w:rPr>
                  </w:pPr>
                  <w:r w:rsidRPr="00C351B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7" w:type="dxa"/>
                </w:tcPr>
                <w:p w:rsidR="00C25411" w:rsidRPr="00C351B5" w:rsidRDefault="00C25411" w:rsidP="003446E6">
                  <w:pPr>
                    <w:jc w:val="both"/>
                    <w:rPr>
                      <w:sz w:val="16"/>
                      <w:szCs w:val="16"/>
                    </w:rPr>
                  </w:pPr>
                  <w:r w:rsidRPr="00C351B5">
                    <w:rPr>
                      <w:sz w:val="16"/>
                      <w:szCs w:val="16"/>
                    </w:rPr>
                    <w:t xml:space="preserve">Desarrollo Comunitario </w:t>
                  </w:r>
                </w:p>
              </w:tc>
              <w:tc>
                <w:tcPr>
                  <w:tcW w:w="1559" w:type="dxa"/>
                </w:tcPr>
                <w:p w:rsidR="00C25411" w:rsidRPr="00C351B5" w:rsidRDefault="00C25411" w:rsidP="00C25411">
                  <w:pPr>
                    <w:jc w:val="center"/>
                    <w:rPr>
                      <w:sz w:val="16"/>
                      <w:szCs w:val="16"/>
                    </w:rPr>
                  </w:pPr>
                  <w:r w:rsidRPr="00C351B5">
                    <w:rPr>
                      <w:sz w:val="16"/>
                      <w:szCs w:val="16"/>
                    </w:rPr>
                    <w:t>1.070</w:t>
                  </w:r>
                </w:p>
              </w:tc>
            </w:tr>
            <w:tr w:rsidR="00C25411" w:rsidTr="00C351B5">
              <w:trPr>
                <w:jc w:val="center"/>
              </w:trPr>
              <w:tc>
                <w:tcPr>
                  <w:tcW w:w="437" w:type="dxa"/>
                </w:tcPr>
                <w:p w:rsidR="00C25411" w:rsidRPr="00C351B5" w:rsidRDefault="00C25411" w:rsidP="003446E6">
                  <w:pPr>
                    <w:jc w:val="both"/>
                    <w:rPr>
                      <w:sz w:val="16"/>
                      <w:szCs w:val="16"/>
                    </w:rPr>
                  </w:pPr>
                  <w:r w:rsidRPr="00C351B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07" w:type="dxa"/>
                </w:tcPr>
                <w:p w:rsidR="00C25411" w:rsidRPr="00C351B5" w:rsidRDefault="00C25411" w:rsidP="003446E6">
                  <w:pPr>
                    <w:jc w:val="both"/>
                    <w:rPr>
                      <w:sz w:val="16"/>
                      <w:szCs w:val="16"/>
                    </w:rPr>
                  </w:pPr>
                  <w:r w:rsidRPr="00C351B5">
                    <w:rPr>
                      <w:sz w:val="16"/>
                      <w:szCs w:val="16"/>
                    </w:rPr>
                    <w:t>Medio Ambiente</w:t>
                  </w:r>
                </w:p>
              </w:tc>
              <w:tc>
                <w:tcPr>
                  <w:tcW w:w="1559" w:type="dxa"/>
                </w:tcPr>
                <w:p w:rsidR="00C25411" w:rsidRPr="00C351B5" w:rsidRDefault="00C25411" w:rsidP="00C25411">
                  <w:pPr>
                    <w:jc w:val="center"/>
                    <w:rPr>
                      <w:sz w:val="16"/>
                      <w:szCs w:val="16"/>
                    </w:rPr>
                  </w:pPr>
                  <w:r w:rsidRPr="00C351B5">
                    <w:rPr>
                      <w:sz w:val="16"/>
                      <w:szCs w:val="16"/>
                    </w:rPr>
                    <w:t>8.521</w:t>
                  </w:r>
                </w:p>
              </w:tc>
            </w:tr>
            <w:tr w:rsidR="00C25411" w:rsidTr="00C351B5">
              <w:trPr>
                <w:jc w:val="center"/>
              </w:trPr>
              <w:tc>
                <w:tcPr>
                  <w:tcW w:w="437" w:type="dxa"/>
                </w:tcPr>
                <w:p w:rsidR="00C25411" w:rsidRPr="00C351B5" w:rsidRDefault="00C25411" w:rsidP="003446E6">
                  <w:pPr>
                    <w:jc w:val="both"/>
                    <w:rPr>
                      <w:sz w:val="16"/>
                      <w:szCs w:val="16"/>
                    </w:rPr>
                  </w:pPr>
                  <w:r w:rsidRPr="00C351B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07" w:type="dxa"/>
                </w:tcPr>
                <w:p w:rsidR="00C25411" w:rsidRPr="00C351B5" w:rsidRDefault="00C25411" w:rsidP="003446E6">
                  <w:pPr>
                    <w:jc w:val="both"/>
                    <w:rPr>
                      <w:sz w:val="16"/>
                      <w:szCs w:val="16"/>
                    </w:rPr>
                  </w:pPr>
                  <w:r w:rsidRPr="00C351B5">
                    <w:rPr>
                      <w:sz w:val="16"/>
                      <w:szCs w:val="16"/>
                    </w:rPr>
                    <w:t>Necesidades Locales</w:t>
                  </w:r>
                </w:p>
              </w:tc>
              <w:tc>
                <w:tcPr>
                  <w:tcW w:w="1559" w:type="dxa"/>
                </w:tcPr>
                <w:p w:rsidR="00C25411" w:rsidRPr="00C351B5" w:rsidRDefault="00C25411" w:rsidP="00C25411">
                  <w:pPr>
                    <w:jc w:val="center"/>
                    <w:rPr>
                      <w:sz w:val="16"/>
                      <w:szCs w:val="16"/>
                    </w:rPr>
                  </w:pPr>
                  <w:r w:rsidRPr="00C351B5">
                    <w:rPr>
                      <w:sz w:val="16"/>
                      <w:szCs w:val="16"/>
                    </w:rPr>
                    <w:t>16.650</w:t>
                  </w:r>
                </w:p>
              </w:tc>
            </w:tr>
            <w:tr w:rsidR="00C25411" w:rsidTr="00C351B5">
              <w:trPr>
                <w:jc w:val="center"/>
              </w:trPr>
              <w:tc>
                <w:tcPr>
                  <w:tcW w:w="437" w:type="dxa"/>
                </w:tcPr>
                <w:p w:rsidR="00C25411" w:rsidRPr="00C351B5" w:rsidRDefault="00C25411" w:rsidP="003446E6">
                  <w:pPr>
                    <w:jc w:val="both"/>
                    <w:rPr>
                      <w:sz w:val="16"/>
                      <w:szCs w:val="16"/>
                    </w:rPr>
                  </w:pPr>
                  <w:r w:rsidRPr="00C351B5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07" w:type="dxa"/>
                </w:tcPr>
                <w:p w:rsidR="00C25411" w:rsidRPr="00C351B5" w:rsidRDefault="00C25411" w:rsidP="003446E6">
                  <w:pPr>
                    <w:jc w:val="both"/>
                    <w:rPr>
                      <w:sz w:val="16"/>
                      <w:szCs w:val="16"/>
                    </w:rPr>
                  </w:pPr>
                  <w:r w:rsidRPr="00C351B5">
                    <w:rPr>
                      <w:sz w:val="16"/>
                      <w:szCs w:val="16"/>
                    </w:rPr>
                    <w:t>Salud</w:t>
                  </w:r>
                </w:p>
              </w:tc>
              <w:tc>
                <w:tcPr>
                  <w:tcW w:w="1559" w:type="dxa"/>
                </w:tcPr>
                <w:p w:rsidR="00C25411" w:rsidRPr="00C351B5" w:rsidRDefault="00C25411" w:rsidP="00C25411">
                  <w:pPr>
                    <w:jc w:val="center"/>
                    <w:rPr>
                      <w:sz w:val="16"/>
                      <w:szCs w:val="16"/>
                    </w:rPr>
                  </w:pPr>
                  <w:r w:rsidRPr="00C351B5">
                    <w:rPr>
                      <w:sz w:val="16"/>
                      <w:szCs w:val="16"/>
                    </w:rPr>
                    <w:t>10.050</w:t>
                  </w:r>
                </w:p>
              </w:tc>
            </w:tr>
          </w:tbl>
          <w:p w:rsidR="00C25411" w:rsidRDefault="00C25411" w:rsidP="003446E6">
            <w:pPr>
              <w:jc w:val="both"/>
            </w:pP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40A06" w:rsidTr="00E632FB">
        <w:tc>
          <w:tcPr>
            <w:tcW w:w="4414" w:type="dxa"/>
            <w:shd w:val="clear" w:color="auto" w:fill="BDD6EE" w:themeFill="accent1" w:themeFillTint="66"/>
          </w:tcPr>
          <w:p w:rsidR="00C40A06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632FB" w:rsidRPr="00C361B0">
              <w:rPr>
                <w:rFonts w:ascii="Arial" w:hAnsi="Arial" w:cs="Arial"/>
                <w:b/>
              </w:rPr>
              <w:t>PRESUPUESTO</w:t>
            </w:r>
          </w:p>
        </w:tc>
        <w:tc>
          <w:tcPr>
            <w:tcW w:w="4414" w:type="dxa"/>
          </w:tcPr>
          <w:p w:rsidR="00C40A06" w:rsidRDefault="00C351B5">
            <w:r>
              <w:t>Bs. 6.157.331,67</w:t>
            </w:r>
          </w:p>
        </w:tc>
      </w:tr>
    </w:tbl>
    <w:p w:rsidR="006D76C2" w:rsidRDefault="006D76C2"/>
    <w:p w:rsidR="00D228B8" w:rsidRDefault="00D228B8"/>
    <w:p w:rsidR="00D228B8" w:rsidRDefault="00D228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7"/>
      </w:tblGrid>
      <w:tr w:rsidR="008D7C5C" w:rsidTr="008D7C5C">
        <w:trPr>
          <w:trHeight w:val="339"/>
        </w:trPr>
        <w:tc>
          <w:tcPr>
            <w:tcW w:w="4407" w:type="dxa"/>
            <w:shd w:val="clear" w:color="auto" w:fill="BDD6EE" w:themeFill="accent1" w:themeFillTint="66"/>
          </w:tcPr>
          <w:p w:rsidR="008D7C5C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lastRenderedPageBreak/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D7C5C" w:rsidRPr="00C361B0">
              <w:rPr>
                <w:rFonts w:ascii="Arial" w:hAnsi="Arial" w:cs="Arial"/>
                <w:b/>
              </w:rPr>
              <w:t>AREAS DE DESARROLLO</w:t>
            </w:r>
          </w:p>
        </w:tc>
      </w:tr>
    </w:tbl>
    <w:p w:rsidR="008D7C5C" w:rsidRDefault="008D7C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1899"/>
        <w:gridCol w:w="425"/>
        <w:gridCol w:w="2090"/>
        <w:gridCol w:w="1695"/>
        <w:gridCol w:w="512"/>
      </w:tblGrid>
      <w:tr w:rsidR="00D46397" w:rsidTr="00D46397">
        <w:tc>
          <w:tcPr>
            <w:tcW w:w="2207" w:type="dxa"/>
            <w:shd w:val="clear" w:color="auto" w:fill="BDD6EE" w:themeFill="accent1" w:themeFillTint="66"/>
          </w:tcPr>
          <w:p w:rsidR="00D46397" w:rsidRDefault="00D46397">
            <w:r>
              <w:t>Desarrollo Productivo</w:t>
            </w:r>
          </w:p>
        </w:tc>
        <w:tc>
          <w:tcPr>
            <w:tcW w:w="1899" w:type="dxa"/>
          </w:tcPr>
          <w:p w:rsidR="00D46397" w:rsidRDefault="00D46397">
            <w:r>
              <w:t>Comunidad</w:t>
            </w:r>
          </w:p>
        </w:tc>
        <w:tc>
          <w:tcPr>
            <w:tcW w:w="425" w:type="dxa"/>
          </w:tcPr>
          <w:p w:rsidR="00D46397" w:rsidRDefault="00D228B8">
            <w:r>
              <w:t>X</w:t>
            </w:r>
          </w:p>
        </w:tc>
        <w:tc>
          <w:tcPr>
            <w:tcW w:w="2090" w:type="dxa"/>
            <w:vMerge w:val="restart"/>
            <w:shd w:val="clear" w:color="auto" w:fill="BDD6EE" w:themeFill="accent1" w:themeFillTint="66"/>
          </w:tcPr>
          <w:p w:rsidR="00183CC2" w:rsidRDefault="00183CC2"/>
          <w:p w:rsidR="00D46397" w:rsidRDefault="00D46397">
            <w:r>
              <w:t>Grupos vulnerables</w:t>
            </w:r>
          </w:p>
        </w:tc>
        <w:tc>
          <w:tcPr>
            <w:tcW w:w="1695" w:type="dxa"/>
          </w:tcPr>
          <w:p w:rsidR="00D46397" w:rsidRDefault="00D46397">
            <w:r>
              <w:t>Niños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shd w:val="clear" w:color="auto" w:fill="BDD6EE" w:themeFill="accent1" w:themeFillTint="66"/>
          </w:tcPr>
          <w:p w:rsidR="00D46397" w:rsidRDefault="00D46397">
            <w:r>
              <w:t xml:space="preserve">Proveedores </w:t>
            </w:r>
          </w:p>
        </w:tc>
        <w:tc>
          <w:tcPr>
            <w:tcW w:w="1899" w:type="dxa"/>
          </w:tcPr>
          <w:p w:rsidR="00D46397" w:rsidRDefault="00D46397">
            <w:r>
              <w:t>Clientes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695" w:type="dxa"/>
          </w:tcPr>
          <w:p w:rsidR="00D46397" w:rsidRDefault="00D46397">
            <w:r>
              <w:t>Mujer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shd w:val="clear" w:color="auto" w:fill="BDD6EE" w:themeFill="accent1" w:themeFillTint="66"/>
          </w:tcPr>
          <w:p w:rsidR="00D46397" w:rsidRDefault="00D46397">
            <w:r>
              <w:t xml:space="preserve">Fortalecimiento </w:t>
            </w:r>
          </w:p>
        </w:tc>
        <w:tc>
          <w:tcPr>
            <w:tcW w:w="1899" w:type="dxa"/>
          </w:tcPr>
          <w:p w:rsidR="00D46397" w:rsidRDefault="00D46397">
            <w:r>
              <w:t xml:space="preserve">Trabajo y empleo 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695" w:type="dxa"/>
          </w:tcPr>
          <w:p w:rsidR="00D46397" w:rsidRDefault="00D46397">
            <w:r>
              <w:t>Adulto Mayor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vMerge w:val="restart"/>
            <w:shd w:val="clear" w:color="auto" w:fill="BDD6EE" w:themeFill="accent1" w:themeFillTint="66"/>
          </w:tcPr>
          <w:p w:rsidR="00D46397" w:rsidRDefault="00D46397">
            <w:r>
              <w:t xml:space="preserve">Educación </w:t>
            </w:r>
          </w:p>
        </w:tc>
        <w:tc>
          <w:tcPr>
            <w:tcW w:w="1899" w:type="dxa"/>
          </w:tcPr>
          <w:p w:rsidR="00D46397" w:rsidRDefault="00D46397">
            <w:r>
              <w:t xml:space="preserve">Estudiantes </w:t>
            </w:r>
          </w:p>
        </w:tc>
        <w:tc>
          <w:tcPr>
            <w:tcW w:w="425" w:type="dxa"/>
          </w:tcPr>
          <w:p w:rsidR="00D46397" w:rsidRDefault="00D228B8">
            <w:r>
              <w:t>X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:rsidR="00D46397" w:rsidRDefault="00D46397">
            <w:r>
              <w:t>Comunidad</w:t>
            </w:r>
          </w:p>
        </w:tc>
        <w:tc>
          <w:tcPr>
            <w:tcW w:w="1695" w:type="dxa"/>
          </w:tcPr>
          <w:p w:rsidR="00D46397" w:rsidRDefault="00D46397">
            <w:r>
              <w:t>Comunidad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899" w:type="dxa"/>
          </w:tcPr>
          <w:p w:rsidR="00D46397" w:rsidRDefault="00D46397">
            <w:r>
              <w:t>Universitarios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shd w:val="clear" w:color="auto" w:fill="BDD6EE" w:themeFill="accent1" w:themeFillTint="66"/>
          </w:tcPr>
          <w:p w:rsidR="00D46397" w:rsidRDefault="00D46397">
            <w:r>
              <w:t>Donaciones</w:t>
            </w:r>
          </w:p>
        </w:tc>
        <w:tc>
          <w:tcPr>
            <w:tcW w:w="1695" w:type="dxa"/>
          </w:tcPr>
          <w:p w:rsidR="00D46397" w:rsidRDefault="00D46397">
            <w:r>
              <w:t>Varios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vMerge w:val="restart"/>
            <w:shd w:val="clear" w:color="auto" w:fill="BDD6EE" w:themeFill="accent1" w:themeFillTint="66"/>
          </w:tcPr>
          <w:p w:rsidR="00D46397" w:rsidRDefault="00D46397">
            <w:r>
              <w:t xml:space="preserve">Salud y Nutrición </w:t>
            </w:r>
          </w:p>
        </w:tc>
        <w:tc>
          <w:tcPr>
            <w:tcW w:w="1899" w:type="dxa"/>
          </w:tcPr>
          <w:p w:rsidR="00D46397" w:rsidRDefault="00D46397">
            <w:r>
              <w:t>Niños y Mujeres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 w:val="restart"/>
            <w:shd w:val="clear" w:color="auto" w:fill="BDD6EE" w:themeFill="accent1" w:themeFillTint="66"/>
          </w:tcPr>
          <w:p w:rsidR="00D46397" w:rsidRDefault="00D46397">
            <w:r>
              <w:t>Medio Ambiente</w:t>
            </w:r>
          </w:p>
        </w:tc>
        <w:tc>
          <w:tcPr>
            <w:tcW w:w="1695" w:type="dxa"/>
          </w:tcPr>
          <w:p w:rsidR="00D46397" w:rsidRDefault="00D46397">
            <w:r>
              <w:t xml:space="preserve">Comunidad </w:t>
            </w:r>
          </w:p>
        </w:tc>
        <w:tc>
          <w:tcPr>
            <w:tcW w:w="512" w:type="dxa"/>
          </w:tcPr>
          <w:p w:rsidR="00D46397" w:rsidRDefault="00D228B8">
            <w:r>
              <w:t>X</w:t>
            </w:r>
          </w:p>
        </w:tc>
      </w:tr>
      <w:tr w:rsidR="00D46397" w:rsidTr="00D46397">
        <w:tc>
          <w:tcPr>
            <w:tcW w:w="2207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899" w:type="dxa"/>
          </w:tcPr>
          <w:p w:rsidR="00D46397" w:rsidRDefault="00D46397">
            <w:r>
              <w:t>Comunidad</w:t>
            </w:r>
          </w:p>
        </w:tc>
        <w:tc>
          <w:tcPr>
            <w:tcW w:w="425" w:type="dxa"/>
          </w:tcPr>
          <w:p w:rsidR="00D46397" w:rsidRDefault="00D228B8">
            <w:r>
              <w:t>X</w:t>
            </w:r>
            <w:bookmarkStart w:id="0" w:name="_GoBack"/>
            <w:bookmarkEnd w:id="0"/>
          </w:p>
        </w:tc>
        <w:tc>
          <w:tcPr>
            <w:tcW w:w="2090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695" w:type="dxa"/>
          </w:tcPr>
          <w:p w:rsidR="00D46397" w:rsidRDefault="00D46397">
            <w:r>
              <w:t>Trabajadores</w:t>
            </w:r>
          </w:p>
        </w:tc>
        <w:tc>
          <w:tcPr>
            <w:tcW w:w="512" w:type="dxa"/>
          </w:tcPr>
          <w:p w:rsidR="00D46397" w:rsidRDefault="00D46397"/>
        </w:tc>
      </w:tr>
      <w:tr w:rsidR="00A80AC8" w:rsidTr="00D46397">
        <w:tc>
          <w:tcPr>
            <w:tcW w:w="2207" w:type="dxa"/>
            <w:shd w:val="clear" w:color="auto" w:fill="BDD6EE" w:themeFill="accent1" w:themeFillTint="66"/>
          </w:tcPr>
          <w:p w:rsidR="00A80AC8" w:rsidRDefault="00A80AC8">
            <w:r>
              <w:t>Seguridad Ciudadana</w:t>
            </w:r>
          </w:p>
        </w:tc>
        <w:tc>
          <w:tcPr>
            <w:tcW w:w="1899" w:type="dxa"/>
          </w:tcPr>
          <w:p w:rsidR="00A80AC8" w:rsidRDefault="00A80AC8">
            <w:r>
              <w:t>Comunidad</w:t>
            </w:r>
          </w:p>
        </w:tc>
        <w:tc>
          <w:tcPr>
            <w:tcW w:w="425" w:type="dxa"/>
          </w:tcPr>
          <w:p w:rsidR="00A80AC8" w:rsidRDefault="00A80AC8"/>
        </w:tc>
        <w:tc>
          <w:tcPr>
            <w:tcW w:w="2090" w:type="dxa"/>
            <w:shd w:val="clear" w:color="auto" w:fill="BDD6EE" w:themeFill="accent1" w:themeFillTint="66"/>
          </w:tcPr>
          <w:p w:rsidR="00A80AC8" w:rsidRDefault="00A80AC8">
            <w:r>
              <w:t xml:space="preserve">Cultura </w:t>
            </w:r>
          </w:p>
        </w:tc>
        <w:tc>
          <w:tcPr>
            <w:tcW w:w="1695" w:type="dxa"/>
          </w:tcPr>
          <w:p w:rsidR="00A80AC8" w:rsidRDefault="00A80AC8">
            <w:r>
              <w:t>Comunidad</w:t>
            </w:r>
          </w:p>
        </w:tc>
        <w:tc>
          <w:tcPr>
            <w:tcW w:w="512" w:type="dxa"/>
          </w:tcPr>
          <w:p w:rsidR="00A80AC8" w:rsidRDefault="00A80AC8"/>
        </w:tc>
      </w:tr>
    </w:tbl>
    <w:p w:rsidR="002164AF" w:rsidRDefault="002164AF"/>
    <w:p w:rsidR="00C361B0" w:rsidRDefault="00C361B0" w:rsidP="00C361B0">
      <w:pPr>
        <w:ind w:left="360"/>
      </w:pPr>
      <w:r>
        <w:t>* Información proporcionada por la sociedad comercial</w:t>
      </w:r>
    </w:p>
    <w:p w:rsidR="00C724AD" w:rsidRDefault="00C724AD"/>
    <w:sectPr w:rsidR="00C724AD" w:rsidSect="00375A08">
      <w:footerReference w:type="default" r:id="rId8"/>
      <w:pgSz w:w="12240" w:h="15840"/>
      <w:pgMar w:top="1417" w:right="1701" w:bottom="1417" w:left="1701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CF" w:rsidRDefault="001F62CF" w:rsidP="00375A08">
      <w:pPr>
        <w:spacing w:after="0" w:line="240" w:lineRule="auto"/>
      </w:pPr>
      <w:r>
        <w:separator/>
      </w:r>
    </w:p>
  </w:endnote>
  <w:endnote w:type="continuationSeparator" w:id="0">
    <w:p w:rsidR="001F62CF" w:rsidRDefault="001F62CF" w:rsidP="0037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08" w:rsidRDefault="00375A08" w:rsidP="00375A08">
    <w:pPr>
      <w:pStyle w:val="Piedepgina"/>
      <w:tabs>
        <w:tab w:val="clear" w:pos="4419"/>
        <w:tab w:val="clear" w:pos="8838"/>
        <w:tab w:val="center" w:pos="4421"/>
        <w:tab w:val="right" w:pos="8789"/>
        <w:tab w:val="right" w:pos="8842"/>
      </w:tabs>
      <w:jc w:val="center"/>
      <w:rPr>
        <w:rFonts w:ascii="Garamond" w:hAnsi="Garamond" w:cs="Arial"/>
        <w:b/>
        <w:noProof/>
        <w:color w:val="44546A" w:themeColor="text2"/>
        <w:sz w:val="16"/>
        <w:szCs w:val="16"/>
      </w:rPr>
    </w:pPr>
    <w:r>
      <w:rPr>
        <w:rFonts w:ascii="Garamond" w:hAnsi="Garamond" w:cs="Arial"/>
        <w:b/>
        <w:i/>
        <w:szCs w:val="16"/>
      </w:rPr>
      <w:t>“</w:t>
    </w:r>
    <w:r w:rsidRPr="00A50157">
      <w:rPr>
        <w:rFonts w:ascii="Garamond" w:hAnsi="Garamond" w:cs="Arial"/>
        <w:b/>
        <w:i/>
        <w:szCs w:val="16"/>
      </w:rPr>
      <w:t>Trabajando juntos, trabajamos mejor”</w:t>
    </w:r>
  </w:p>
  <w:p w:rsidR="00375A08" w:rsidRDefault="00375A08" w:rsidP="00375A08">
    <w:pPr>
      <w:pStyle w:val="Piedepgina"/>
      <w:tabs>
        <w:tab w:val="clear" w:pos="4419"/>
        <w:tab w:val="clear" w:pos="8838"/>
        <w:tab w:val="center" w:pos="4421"/>
        <w:tab w:val="right" w:pos="8789"/>
        <w:tab w:val="right" w:pos="8842"/>
      </w:tabs>
      <w:rPr>
        <w:rFonts w:ascii="Garamond" w:hAnsi="Garamond" w:cs="Arial"/>
        <w:b/>
        <w:noProof/>
        <w:color w:val="44546A" w:themeColor="text2"/>
        <w:sz w:val="16"/>
        <w:szCs w:val="16"/>
      </w:rPr>
    </w:pPr>
    <w:r>
      <w:rPr>
        <w:rFonts w:ascii="Garamond" w:hAnsi="Garamond" w:cs="Arial"/>
        <w:b/>
        <w:noProof/>
        <w:color w:val="44546A" w:themeColor="text2"/>
        <w:sz w:val="16"/>
        <w:szCs w:val="16"/>
        <w:lang w:eastAsia="es-B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2F8BC" wp14:editId="53AD18BD">
              <wp:simplePos x="0" y="0"/>
              <wp:positionH relativeFrom="column">
                <wp:posOffset>27305</wp:posOffset>
              </wp:positionH>
              <wp:positionV relativeFrom="paragraph">
                <wp:posOffset>33020</wp:posOffset>
              </wp:positionV>
              <wp:extent cx="559625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62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F0C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15pt;margin-top:2.6pt;width:440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" strokecolor="#44546a [3215]" strokeweight="1.5pt">
              <v:shadow color="#1f4d78 [1604]" opacity=".5" offset="1pt"/>
            </v:shape>
          </w:pict>
        </mc:Fallback>
      </mc:AlternateContent>
    </w:r>
  </w:p>
  <w:p w:rsidR="00375A08" w:rsidRDefault="00375A08" w:rsidP="00375A08">
    <w:pPr>
      <w:pStyle w:val="Piedepgina"/>
      <w:tabs>
        <w:tab w:val="right" w:pos="8789"/>
      </w:tabs>
      <w:jc w:val="center"/>
      <w:rPr>
        <w:rFonts w:ascii="Garamond" w:hAnsi="Garamond" w:cs="Arial"/>
        <w:b/>
        <w:color w:val="44546A" w:themeColor="text2"/>
        <w:sz w:val="16"/>
        <w:szCs w:val="16"/>
      </w:rPr>
    </w:pP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Dirección: Calle Batallón Colorados N° 24 – Edificio “El </w:t>
    </w:r>
    <w:proofErr w:type="gramStart"/>
    <w:r w:rsidRPr="00FC46AD">
      <w:rPr>
        <w:rFonts w:ascii="Garamond" w:hAnsi="Garamond" w:cs="Arial"/>
        <w:b/>
        <w:color w:val="44546A" w:themeColor="text2"/>
        <w:sz w:val="16"/>
        <w:szCs w:val="16"/>
      </w:rPr>
      <w:t>Cóndor”  Piso</w:t>
    </w:r>
    <w:proofErr w:type="gramEnd"/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 11 </w:t>
    </w:r>
  </w:p>
  <w:p w:rsidR="00375A08" w:rsidRPr="00494340" w:rsidRDefault="00375A08" w:rsidP="00375A08">
    <w:pPr>
      <w:pStyle w:val="Piedepgina"/>
      <w:tabs>
        <w:tab w:val="right" w:pos="8789"/>
      </w:tabs>
      <w:jc w:val="center"/>
    </w:pP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Teléfono y Fax: (591 - 2) 2150000 – 2152118 - 2152119 - </w:t>
    </w:r>
    <w:proofErr w:type="gramStart"/>
    <w:r w:rsidRPr="00FC46AD">
      <w:rPr>
        <w:rFonts w:ascii="Garamond" w:hAnsi="Garamond" w:cs="Arial"/>
        <w:b/>
        <w:color w:val="44546A" w:themeColor="text2"/>
        <w:sz w:val="16"/>
        <w:szCs w:val="16"/>
      </w:rPr>
      <w:t>2110779  Casilla</w:t>
    </w:r>
    <w:proofErr w:type="gramEnd"/>
    <w:r w:rsidRPr="00FC46AD">
      <w:rPr>
        <w:rFonts w:ascii="Garamond" w:hAnsi="Garamond" w:cs="Arial"/>
        <w:b/>
        <w:color w:val="44546A" w:themeColor="text2"/>
        <w:sz w:val="16"/>
        <w:szCs w:val="16"/>
      </w:rPr>
      <w:t>: 2228</w:t>
    </w:r>
    <w:r>
      <w:rPr>
        <w:rFonts w:ascii="Garamond" w:hAnsi="Garamond" w:cs="Arial"/>
        <w:b/>
        <w:color w:val="44546A" w:themeColor="text2"/>
        <w:sz w:val="16"/>
        <w:szCs w:val="16"/>
      </w:rPr>
      <w:t xml:space="preserve"> </w:t>
    </w: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La Paz – Bolivia  </w:t>
    </w:r>
  </w:p>
  <w:p w:rsidR="00375A08" w:rsidRDefault="00375A08" w:rsidP="00375A08">
    <w:pPr>
      <w:pStyle w:val="Piedepgina"/>
      <w:tabs>
        <w:tab w:val="right" w:pos="8789"/>
      </w:tabs>
      <w:jc w:val="center"/>
      <w:rPr>
        <w:rFonts w:ascii="Garamond" w:hAnsi="Garamond" w:cs="Arial"/>
        <w:b/>
        <w:color w:val="44546A" w:themeColor="text2"/>
        <w:sz w:val="16"/>
        <w:szCs w:val="16"/>
      </w:rPr>
    </w:pPr>
    <w:proofErr w:type="spellStart"/>
    <w:r w:rsidRPr="00FC46AD">
      <w:rPr>
        <w:rFonts w:ascii="Garamond" w:hAnsi="Garamond" w:cs="Arial"/>
        <w:b/>
        <w:color w:val="44546A" w:themeColor="text2"/>
        <w:sz w:val="16"/>
        <w:szCs w:val="16"/>
      </w:rPr>
      <w:t>Pagina</w:t>
    </w:r>
    <w:proofErr w:type="spellEnd"/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 Web: www.autoridadempresas.gob.bo     E-mail: </w:t>
    </w:r>
    <w:hyperlink r:id="rId1" w:history="1">
      <w:r w:rsidRPr="005B77E5">
        <w:rPr>
          <w:rStyle w:val="Hipervnculo"/>
          <w:rFonts w:ascii="Garamond" w:hAnsi="Garamond" w:cs="Arial"/>
          <w:b/>
          <w:sz w:val="16"/>
          <w:szCs w:val="16"/>
        </w:rPr>
        <w:t>aemp@autoridadempresas.gob.bo</w:t>
      </w:r>
    </w:hyperlink>
  </w:p>
  <w:p w:rsidR="00375A08" w:rsidRDefault="00375A08" w:rsidP="00375A08"/>
  <w:p w:rsidR="00375A08" w:rsidRDefault="00375A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CF" w:rsidRDefault="001F62CF" w:rsidP="00375A08">
      <w:pPr>
        <w:spacing w:after="0" w:line="240" w:lineRule="auto"/>
      </w:pPr>
      <w:r>
        <w:separator/>
      </w:r>
    </w:p>
  </w:footnote>
  <w:footnote w:type="continuationSeparator" w:id="0">
    <w:p w:rsidR="001F62CF" w:rsidRDefault="001F62CF" w:rsidP="0037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FAA"/>
    <w:multiLevelType w:val="hybridMultilevel"/>
    <w:tmpl w:val="AB1AAF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5EF"/>
    <w:multiLevelType w:val="hybridMultilevel"/>
    <w:tmpl w:val="BF50D33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209"/>
    <w:multiLevelType w:val="hybridMultilevel"/>
    <w:tmpl w:val="F7C25EFA"/>
    <w:lvl w:ilvl="0" w:tplc="F66048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1282E"/>
    <w:multiLevelType w:val="hybridMultilevel"/>
    <w:tmpl w:val="25A6C9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90B"/>
    <w:multiLevelType w:val="hybridMultilevel"/>
    <w:tmpl w:val="1278E5BA"/>
    <w:lvl w:ilvl="0" w:tplc="7CFEC4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B7EC3"/>
    <w:multiLevelType w:val="hybridMultilevel"/>
    <w:tmpl w:val="A27A9150"/>
    <w:lvl w:ilvl="0" w:tplc="3BF0D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64BC9"/>
    <w:multiLevelType w:val="hybridMultilevel"/>
    <w:tmpl w:val="D2B85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27F17"/>
    <w:multiLevelType w:val="hybridMultilevel"/>
    <w:tmpl w:val="50961A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7287B"/>
    <w:multiLevelType w:val="hybridMultilevel"/>
    <w:tmpl w:val="4DB0E5E6"/>
    <w:lvl w:ilvl="0" w:tplc="556C63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C775D"/>
    <w:multiLevelType w:val="hybridMultilevel"/>
    <w:tmpl w:val="DDC8FF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4DE"/>
    <w:multiLevelType w:val="hybridMultilevel"/>
    <w:tmpl w:val="225ECE60"/>
    <w:lvl w:ilvl="0" w:tplc="ED6848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17525"/>
    <w:multiLevelType w:val="hybridMultilevel"/>
    <w:tmpl w:val="9E7A17A6"/>
    <w:lvl w:ilvl="0" w:tplc="5546F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466CC"/>
    <w:multiLevelType w:val="hybridMultilevel"/>
    <w:tmpl w:val="DDCC5DFC"/>
    <w:lvl w:ilvl="0" w:tplc="400A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C2"/>
    <w:rsid w:val="00090118"/>
    <w:rsid w:val="000A1868"/>
    <w:rsid w:val="000C5A07"/>
    <w:rsid w:val="00124B74"/>
    <w:rsid w:val="00133F37"/>
    <w:rsid w:val="00183CC2"/>
    <w:rsid w:val="00187499"/>
    <w:rsid w:val="001C1008"/>
    <w:rsid w:val="001D6531"/>
    <w:rsid w:val="001F62CF"/>
    <w:rsid w:val="002164AF"/>
    <w:rsid w:val="00227456"/>
    <w:rsid w:val="00263687"/>
    <w:rsid w:val="00265174"/>
    <w:rsid w:val="00315EC7"/>
    <w:rsid w:val="003446E6"/>
    <w:rsid w:val="00371AC9"/>
    <w:rsid w:val="00375A08"/>
    <w:rsid w:val="003C7204"/>
    <w:rsid w:val="0041069E"/>
    <w:rsid w:val="00463CF6"/>
    <w:rsid w:val="00497989"/>
    <w:rsid w:val="004B6633"/>
    <w:rsid w:val="004C7352"/>
    <w:rsid w:val="0050514E"/>
    <w:rsid w:val="006127A2"/>
    <w:rsid w:val="0062744D"/>
    <w:rsid w:val="006843F3"/>
    <w:rsid w:val="006D76C2"/>
    <w:rsid w:val="00762718"/>
    <w:rsid w:val="00790849"/>
    <w:rsid w:val="0089087B"/>
    <w:rsid w:val="008D7C5C"/>
    <w:rsid w:val="00955F9B"/>
    <w:rsid w:val="009D2096"/>
    <w:rsid w:val="00A6283E"/>
    <w:rsid w:val="00A80AC8"/>
    <w:rsid w:val="00B040C2"/>
    <w:rsid w:val="00B47C03"/>
    <w:rsid w:val="00B73ABE"/>
    <w:rsid w:val="00BA519B"/>
    <w:rsid w:val="00BC6EE0"/>
    <w:rsid w:val="00BF5C1F"/>
    <w:rsid w:val="00C25411"/>
    <w:rsid w:val="00C351B5"/>
    <w:rsid w:val="00C361B0"/>
    <w:rsid w:val="00C40A06"/>
    <w:rsid w:val="00C708DA"/>
    <w:rsid w:val="00C724AD"/>
    <w:rsid w:val="00C86E8F"/>
    <w:rsid w:val="00CD2AA6"/>
    <w:rsid w:val="00D228B8"/>
    <w:rsid w:val="00D46397"/>
    <w:rsid w:val="00D55BEA"/>
    <w:rsid w:val="00D64C2F"/>
    <w:rsid w:val="00DD5F23"/>
    <w:rsid w:val="00E12B1F"/>
    <w:rsid w:val="00E3523C"/>
    <w:rsid w:val="00E632FB"/>
    <w:rsid w:val="00E8237C"/>
    <w:rsid w:val="00E95DFD"/>
    <w:rsid w:val="00EC7821"/>
    <w:rsid w:val="00F10AA2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F42D71"/>
  <w15:chartTrackingRefBased/>
  <w15:docId w15:val="{33846D2E-9F0A-4BD7-8AE9-2676E089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79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5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A08"/>
  </w:style>
  <w:style w:type="paragraph" w:styleId="Piedepgina">
    <w:name w:val="footer"/>
    <w:basedOn w:val="Normal"/>
    <w:link w:val="PiedepginaCar"/>
    <w:uiPriority w:val="99"/>
    <w:unhideWhenUsed/>
    <w:rsid w:val="00375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A08"/>
  </w:style>
  <w:style w:type="character" w:styleId="Hipervnculo">
    <w:name w:val="Hyperlink"/>
    <w:basedOn w:val="Fuentedeprrafopredeter"/>
    <w:uiPriority w:val="99"/>
    <w:unhideWhenUsed/>
    <w:rsid w:val="00375A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emp@autoridadempresas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783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2019-05-07T19:02:00Z</dcterms:created>
  <dcterms:modified xsi:type="dcterms:W3CDTF">2019-11-13T21:48:00Z</dcterms:modified>
</cp:coreProperties>
</file>